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B3" w:rsidRPr="00143CA8" w:rsidRDefault="00ED2FB3" w:rsidP="00ED2FB3">
      <w:pPr>
        <w:spacing w:before="240"/>
        <w:jc w:val="center"/>
        <w:rPr>
          <w:rFonts w:ascii="Univers Condensed (PCL6)" w:hAnsi="Univers Condensed (PCL6)"/>
          <w:b/>
        </w:rPr>
      </w:pPr>
      <w:bookmarkStart w:id="0" w:name="_GoBack"/>
      <w:bookmarkEnd w:id="0"/>
      <w:r w:rsidRPr="00143CA8">
        <w:rPr>
          <w:rFonts w:ascii="Univers Condensed (PCL6)" w:hAnsi="Univers Condensed (PCL6)"/>
          <w:b/>
        </w:rPr>
        <w:t>Florida Department of State, Division of Library and Information Services</w:t>
      </w:r>
    </w:p>
    <w:p w:rsidR="00ED2FB3" w:rsidRPr="00143CA8" w:rsidRDefault="00ED2FB3" w:rsidP="00ED2FB3">
      <w:pPr>
        <w:jc w:val="center"/>
        <w:rPr>
          <w:rFonts w:ascii="Univers Condensed (PCL6)" w:hAnsi="Univers Condensed (PCL6)"/>
          <w:b/>
          <w:sz w:val="18"/>
        </w:rPr>
      </w:pPr>
      <w:r w:rsidRPr="00143CA8">
        <w:rPr>
          <w:rFonts w:ascii="Univers Condensed (PCL6)" w:hAnsi="Univers Condensed (PCL6)"/>
          <w:b/>
          <w:sz w:val="18"/>
        </w:rPr>
        <w:t>R.A. Gray Building, 500 South Bronough Street, Tallahassee, FL 32399-0250</w:t>
      </w:r>
    </w:p>
    <w:p w:rsidR="00ED2FB3" w:rsidRPr="00143CA8" w:rsidRDefault="00ED2FB3" w:rsidP="00ED2FB3">
      <w:pPr>
        <w:spacing w:before="240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143CA8">
        <w:rPr>
          <w:b/>
          <w:bCs/>
          <w:color w:val="000000"/>
          <w:kern w:val="36"/>
          <w:sz w:val="32"/>
          <w:szCs w:val="32"/>
        </w:rPr>
        <w:t>Public Library Construction Grant</w:t>
      </w:r>
    </w:p>
    <w:p w:rsidR="00ED2FB3" w:rsidRPr="00143CA8" w:rsidRDefault="00ED2FB3" w:rsidP="00ED2FB3">
      <w:pPr>
        <w:spacing w:before="240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143CA8">
        <w:rPr>
          <w:b/>
          <w:bCs/>
          <w:color w:val="000000"/>
          <w:kern w:val="36"/>
          <w:sz w:val="32"/>
          <w:szCs w:val="32"/>
        </w:rPr>
        <w:t>Progress Report</w:t>
      </w:r>
    </w:p>
    <w:p w:rsidR="00ED2FB3" w:rsidRPr="00143CA8" w:rsidRDefault="00ED2FB3" w:rsidP="00ED2FB3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110"/>
      </w:tblGrid>
      <w:tr w:rsidR="00ED2FB3" w:rsidRPr="00143CA8" w:rsidTr="00551586">
        <w:tc>
          <w:tcPr>
            <w:tcW w:w="3060" w:type="dxa"/>
            <w:shd w:val="clear" w:color="auto" w:fill="auto"/>
          </w:tcPr>
          <w:p w:rsidR="00ED2FB3" w:rsidRPr="00143CA8" w:rsidRDefault="00ED2FB3" w:rsidP="00551586">
            <w:pPr>
              <w:spacing w:before="120" w:after="120"/>
              <w:ind w:hanging="1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43CA8">
              <w:rPr>
                <w:b/>
                <w:bCs/>
                <w:color w:val="000000"/>
                <w:kern w:val="36"/>
                <w:sz w:val="24"/>
                <w:szCs w:val="24"/>
              </w:rPr>
              <w:t>Organization Name:</w:t>
            </w:r>
          </w:p>
        </w:tc>
        <w:tc>
          <w:tcPr>
            <w:tcW w:w="7110" w:type="dxa"/>
            <w:shd w:val="clear" w:color="auto" w:fill="auto"/>
          </w:tcPr>
          <w:p w:rsidR="00ED2FB3" w:rsidRPr="00143CA8" w:rsidRDefault="00ED2FB3" w:rsidP="00551586">
            <w:pPr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ED2FB3" w:rsidRPr="00143CA8" w:rsidTr="00551586">
        <w:tc>
          <w:tcPr>
            <w:tcW w:w="3060" w:type="dxa"/>
            <w:shd w:val="clear" w:color="auto" w:fill="auto"/>
          </w:tcPr>
          <w:p w:rsidR="00ED2FB3" w:rsidRPr="00143CA8" w:rsidRDefault="00ED2FB3" w:rsidP="00551586">
            <w:pPr>
              <w:spacing w:before="120" w:after="12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43CA8">
              <w:rPr>
                <w:b/>
                <w:bCs/>
                <w:color w:val="000000"/>
                <w:kern w:val="36"/>
                <w:sz w:val="24"/>
                <w:szCs w:val="24"/>
              </w:rPr>
              <w:t>Project Number:</w:t>
            </w:r>
          </w:p>
        </w:tc>
        <w:tc>
          <w:tcPr>
            <w:tcW w:w="7110" w:type="dxa"/>
            <w:shd w:val="clear" w:color="auto" w:fill="auto"/>
          </w:tcPr>
          <w:p w:rsidR="00ED2FB3" w:rsidRPr="00143CA8" w:rsidRDefault="00ED2FB3" w:rsidP="00551586">
            <w:pPr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ED2FB3" w:rsidRPr="00143CA8" w:rsidTr="00551586">
        <w:tc>
          <w:tcPr>
            <w:tcW w:w="3060" w:type="dxa"/>
            <w:shd w:val="clear" w:color="auto" w:fill="auto"/>
          </w:tcPr>
          <w:p w:rsidR="00ED2FB3" w:rsidRPr="00143CA8" w:rsidRDefault="00ED2FB3" w:rsidP="00551586">
            <w:pPr>
              <w:spacing w:before="120" w:after="12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43CA8">
              <w:rPr>
                <w:b/>
                <w:bCs/>
                <w:color w:val="000000"/>
                <w:kern w:val="36"/>
                <w:sz w:val="24"/>
                <w:szCs w:val="24"/>
              </w:rPr>
              <w:t>Project Name:</w:t>
            </w:r>
          </w:p>
        </w:tc>
        <w:tc>
          <w:tcPr>
            <w:tcW w:w="7110" w:type="dxa"/>
            <w:shd w:val="clear" w:color="auto" w:fill="auto"/>
          </w:tcPr>
          <w:p w:rsidR="00ED2FB3" w:rsidRPr="00143CA8" w:rsidRDefault="00ED2FB3" w:rsidP="00551586">
            <w:pPr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ED2FB3" w:rsidRPr="00143CA8" w:rsidTr="00551586">
        <w:tc>
          <w:tcPr>
            <w:tcW w:w="3060" w:type="dxa"/>
            <w:shd w:val="clear" w:color="auto" w:fill="auto"/>
          </w:tcPr>
          <w:p w:rsidR="00ED2FB3" w:rsidRPr="00143CA8" w:rsidRDefault="00ED2FB3" w:rsidP="00551586">
            <w:pPr>
              <w:spacing w:before="120" w:after="12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43CA8">
              <w:rPr>
                <w:b/>
                <w:bCs/>
                <w:color w:val="000000"/>
                <w:kern w:val="36"/>
                <w:sz w:val="24"/>
                <w:szCs w:val="24"/>
              </w:rPr>
              <w:t>Period Covered by Report:</w:t>
            </w:r>
          </w:p>
        </w:tc>
        <w:tc>
          <w:tcPr>
            <w:tcW w:w="7110" w:type="dxa"/>
            <w:shd w:val="clear" w:color="auto" w:fill="auto"/>
          </w:tcPr>
          <w:p w:rsidR="00ED2FB3" w:rsidRPr="00143CA8" w:rsidRDefault="00ED2FB3" w:rsidP="00551586">
            <w:pPr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ED2FB3" w:rsidRPr="00143CA8" w:rsidRDefault="00ED2FB3" w:rsidP="00ED2FB3">
      <w:pPr>
        <w:spacing w:before="120"/>
        <w:ind w:left="-144"/>
        <w:rPr>
          <w:rFonts w:eastAsia="Arial"/>
          <w:color w:val="000000"/>
          <w:sz w:val="24"/>
          <w:szCs w:val="24"/>
        </w:rPr>
      </w:pPr>
      <w:r w:rsidRPr="00143CA8">
        <w:rPr>
          <w:rFonts w:eastAsia="Arial"/>
          <w:color w:val="000000"/>
          <w:sz w:val="24"/>
          <w:szCs w:val="24"/>
        </w:rPr>
        <w:t>Instructions:</w:t>
      </w:r>
    </w:p>
    <w:p w:rsidR="00ED2FB3" w:rsidRPr="00143CA8" w:rsidRDefault="00ED2FB3" w:rsidP="00ED2FB3">
      <w:pPr>
        <w:rPr>
          <w:rFonts w:eastAsia="Arial"/>
          <w:color w:val="000000"/>
          <w:sz w:val="24"/>
          <w:szCs w:val="24"/>
        </w:rPr>
      </w:pPr>
      <w:r w:rsidRPr="00143CA8">
        <w:rPr>
          <w:sz w:val="24"/>
        </w:rPr>
        <w:t xml:space="preserve">A progress report must be submitted to the Division every six (6) months until the project is completed. The report should include a status of the construction project and photographs of project progress. </w:t>
      </w:r>
      <w:r w:rsidRPr="00143CA8">
        <w:rPr>
          <w:rFonts w:eastAsia="Arial"/>
          <w:color w:val="000000"/>
          <w:sz w:val="24"/>
          <w:szCs w:val="24"/>
        </w:rPr>
        <w:t>Attach additional pages as necessary.</w:t>
      </w: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  <w:r w:rsidRPr="00143CA8">
        <w:rPr>
          <w:rFonts w:eastAsia="Arial"/>
          <w:color w:val="000000"/>
          <w:sz w:val="24"/>
          <w:szCs w:val="24"/>
        </w:rPr>
        <w:t>Mail, fax or email completed form to:</w:t>
      </w:r>
    </w:p>
    <w:p w:rsidR="00ED2FB3" w:rsidRPr="00143CA8" w:rsidRDefault="00ED2FB3" w:rsidP="00ED2FB3">
      <w:pPr>
        <w:spacing w:before="80"/>
        <w:ind w:left="10" w:right="366" w:hanging="10"/>
        <w:rPr>
          <w:rFonts w:eastAsia="Arial"/>
          <w:color w:val="000000"/>
          <w:sz w:val="24"/>
          <w:szCs w:val="24"/>
        </w:rPr>
      </w:pPr>
      <w:r w:rsidRPr="00143CA8">
        <w:rPr>
          <w:rFonts w:eastAsia="Arial"/>
          <w:color w:val="000000"/>
          <w:sz w:val="24"/>
          <w:szCs w:val="24"/>
        </w:rPr>
        <w:t xml:space="preserve">Division of Library and Information Services </w:t>
      </w: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  <w:r w:rsidRPr="00143CA8">
        <w:rPr>
          <w:rFonts w:eastAsia="Arial"/>
          <w:color w:val="000000"/>
          <w:sz w:val="24"/>
          <w:szCs w:val="24"/>
        </w:rPr>
        <w:t>R.A. Gray Building, MS # 9D</w:t>
      </w: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  <w:r w:rsidRPr="00143CA8">
        <w:rPr>
          <w:rFonts w:eastAsia="Arial"/>
          <w:color w:val="000000"/>
          <w:sz w:val="24"/>
          <w:szCs w:val="24"/>
        </w:rPr>
        <w:t>500 South Bronough Street</w:t>
      </w:r>
    </w:p>
    <w:p w:rsidR="00ED2FB3" w:rsidRPr="00143CA8" w:rsidRDefault="00ED2FB3" w:rsidP="00ED2FB3">
      <w:pPr>
        <w:ind w:left="10" w:right="366" w:hanging="10"/>
        <w:rPr>
          <w:rFonts w:eastAsia="Arial"/>
          <w:color w:val="000000"/>
          <w:sz w:val="24"/>
          <w:szCs w:val="24"/>
        </w:rPr>
      </w:pPr>
      <w:r w:rsidRPr="00143CA8">
        <w:rPr>
          <w:rFonts w:eastAsia="Arial"/>
          <w:color w:val="000000"/>
          <w:sz w:val="24"/>
          <w:szCs w:val="24"/>
        </w:rPr>
        <w:t>Tallahassee, Florida 32399-0250</w:t>
      </w:r>
    </w:p>
    <w:p w:rsidR="00176014" w:rsidRPr="00ED2FB3" w:rsidRDefault="00ED2FB3" w:rsidP="00ED2FB3">
      <w:pPr>
        <w:spacing w:after="80"/>
        <w:ind w:left="14" w:right="360" w:hanging="14"/>
        <w:rPr>
          <w:rFonts w:eastAsia="Arial"/>
          <w:color w:val="000000"/>
          <w:sz w:val="24"/>
          <w:szCs w:val="24"/>
        </w:rPr>
      </w:pPr>
      <w:r w:rsidRPr="00143CA8">
        <w:rPr>
          <w:rFonts w:eastAsia="Arial"/>
          <w:color w:val="000000"/>
          <w:sz w:val="24"/>
          <w:szCs w:val="24"/>
        </w:rPr>
        <w:t xml:space="preserve">Email: </w:t>
      </w:r>
      <w:hyperlink r:id="rId6" w:history="1">
        <w:r w:rsidRPr="00143CA8">
          <w:rPr>
            <w:rStyle w:val="Hyperlink"/>
            <w:rFonts w:eastAsia="Arial"/>
            <w:sz w:val="24"/>
            <w:szCs w:val="24"/>
          </w:rPr>
          <w:t>Marian.Deeney@DOS.MyFlorida.com</w:t>
        </w:r>
      </w:hyperlink>
      <w:r w:rsidRPr="00143CA8">
        <w:rPr>
          <w:rFonts w:eastAsia="Arial"/>
          <w:color w:val="000000"/>
          <w:sz w:val="24"/>
          <w:szCs w:val="24"/>
        </w:rPr>
        <w:t xml:space="preserve"> </w:t>
      </w:r>
      <w:r w:rsidRPr="00143CA8">
        <w:rPr>
          <w:rFonts w:eastAsia="Arial"/>
          <w:color w:val="000000"/>
          <w:sz w:val="24"/>
          <w:szCs w:val="24"/>
        </w:rPr>
        <w:tab/>
        <w:t>Fax: 850.245.6643</w:t>
      </w:r>
    </w:p>
    <w:sectPr w:rsidR="00176014" w:rsidRPr="00ED2FB3" w:rsidSect="00ED2FB3"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B3" w:rsidRDefault="00ED2FB3" w:rsidP="00ED2FB3">
      <w:r>
        <w:separator/>
      </w:r>
    </w:p>
  </w:endnote>
  <w:endnote w:type="continuationSeparator" w:id="0">
    <w:p w:rsidR="00ED2FB3" w:rsidRDefault="00ED2FB3" w:rsidP="00ED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B3" w:rsidRPr="00143CA8" w:rsidRDefault="00ED2FB3" w:rsidP="00ED2FB3">
    <w:pPr>
      <w:pStyle w:val="Footer"/>
      <w:rPr>
        <w:sz w:val="16"/>
        <w:szCs w:val="16"/>
      </w:rPr>
    </w:pPr>
    <w:r w:rsidRPr="00143CA8">
      <w:rPr>
        <w:sz w:val="16"/>
        <w:szCs w:val="16"/>
      </w:rPr>
      <w:t>Public Library Construction Grant Program Progress Report (DLIS/PLC07)</w:t>
    </w:r>
  </w:p>
  <w:p w:rsidR="00ED2FB3" w:rsidRPr="004E3AB9" w:rsidRDefault="00ED2FB3" w:rsidP="00ED2FB3">
    <w:pPr>
      <w:pStyle w:val="Footer"/>
      <w:rPr>
        <w:sz w:val="16"/>
        <w:szCs w:val="16"/>
      </w:rPr>
    </w:pPr>
    <w:r w:rsidRPr="00143CA8">
      <w:rPr>
        <w:spacing w:val="-2"/>
        <w:sz w:val="16"/>
        <w:szCs w:val="16"/>
      </w:rPr>
      <w:t>Chapter 1B-2.011(2</w:t>
    </w:r>
    <w:proofErr w:type="gramStart"/>
    <w:r w:rsidRPr="00143CA8">
      <w:rPr>
        <w:spacing w:val="-2"/>
        <w:sz w:val="16"/>
        <w:szCs w:val="16"/>
      </w:rPr>
      <w:t>)(</w:t>
    </w:r>
    <w:proofErr w:type="gramEnd"/>
    <w:r w:rsidRPr="00143CA8">
      <w:rPr>
        <w:spacing w:val="-2"/>
        <w:sz w:val="16"/>
        <w:szCs w:val="16"/>
      </w:rPr>
      <w:t xml:space="preserve">b), </w:t>
    </w:r>
    <w:r w:rsidRPr="00143CA8">
      <w:rPr>
        <w:i/>
        <w:spacing w:val="-2"/>
        <w:sz w:val="16"/>
        <w:szCs w:val="16"/>
      </w:rPr>
      <w:t>Florida Administrative Code</w:t>
    </w:r>
    <w:r w:rsidRPr="00143CA8">
      <w:rPr>
        <w:spacing w:val="-2"/>
        <w:sz w:val="16"/>
        <w:szCs w:val="16"/>
      </w:rPr>
      <w:t xml:space="preserve">, </w:t>
    </w:r>
    <w:r w:rsidRPr="00247FFB">
      <w:rPr>
        <w:spacing w:val="-2"/>
        <w:sz w:val="16"/>
      </w:rPr>
      <w:t xml:space="preserve">Effective </w:t>
    </w:r>
    <w:r>
      <w:rPr>
        <w:spacing w:val="-2"/>
        <w:sz w:val="16"/>
      </w:rPr>
      <w:t xml:space="preserve"> </w:t>
    </w:r>
    <w:r w:rsidRPr="002230A6">
      <w:rPr>
        <w:sz w:val="16"/>
        <w:szCs w:val="16"/>
      </w:rPr>
      <w:t>7-2016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B3" w:rsidRDefault="00ED2FB3" w:rsidP="00ED2FB3">
      <w:r>
        <w:separator/>
      </w:r>
    </w:p>
  </w:footnote>
  <w:footnote w:type="continuationSeparator" w:id="0">
    <w:p w:rsidR="00ED2FB3" w:rsidRDefault="00ED2FB3" w:rsidP="00ED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3"/>
    <w:rsid w:val="00176014"/>
    <w:rsid w:val="007A773B"/>
    <w:rsid w:val="00E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2E368-A6FC-41E0-9FF4-AB3CC6BB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B3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2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.Deeney@DOS.MyFlori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Deeney, Marian</dc:creator>
  <cp:keywords/>
  <dc:description/>
  <cp:lastModifiedBy>Emmert, Kymberly D.</cp:lastModifiedBy>
  <cp:revision>2</cp:revision>
  <dcterms:created xsi:type="dcterms:W3CDTF">2016-07-08T20:32:00Z</dcterms:created>
  <dcterms:modified xsi:type="dcterms:W3CDTF">2016-07-08T20:32:00Z</dcterms:modified>
</cp:coreProperties>
</file>